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CellSpacing w:w="0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7775C1" w:rsidRPr="007775C1" w:rsidTr="009054F8">
        <w:trPr>
          <w:tblCellSpacing w:w="0" w:type="dxa"/>
        </w:trPr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9" w:rsidRPr="00447E7A" w:rsidRDefault="00CD58F9" w:rsidP="009054F8">
            <w:pPr>
              <w:spacing w:after="0" w:line="240" w:lineRule="auto"/>
              <w:ind w:left="1030"/>
              <w:jc w:val="center"/>
              <w:rPr>
                <w:b/>
                <w:sz w:val="24"/>
                <w:szCs w:val="24"/>
              </w:rPr>
            </w:pPr>
            <w:r w:rsidRPr="00447E7A">
              <w:rPr>
                <w:b/>
                <w:sz w:val="24"/>
                <w:szCs w:val="24"/>
              </w:rPr>
              <w:t>ТОМСКАЯ ОБЛАСТЬ</w:t>
            </w:r>
          </w:p>
          <w:p w:rsidR="00CD58F9" w:rsidRPr="00447E7A" w:rsidRDefault="00CD58F9" w:rsidP="00447E7A">
            <w:pPr>
              <w:spacing w:after="0" w:line="240" w:lineRule="auto"/>
              <w:ind w:left="567"/>
              <w:jc w:val="center"/>
              <w:rPr>
                <w:b/>
                <w:sz w:val="24"/>
                <w:szCs w:val="24"/>
              </w:rPr>
            </w:pPr>
            <w:r w:rsidRPr="00447E7A">
              <w:rPr>
                <w:b/>
                <w:sz w:val="24"/>
                <w:szCs w:val="24"/>
              </w:rPr>
              <w:t>КАРГАСОКСКИЙ РАЙОН</w:t>
            </w:r>
          </w:p>
          <w:p w:rsidR="00CD58F9" w:rsidRPr="00447E7A" w:rsidRDefault="00CD58F9" w:rsidP="00447E7A">
            <w:pPr>
              <w:spacing w:after="0" w:line="240" w:lineRule="auto"/>
              <w:ind w:left="567"/>
              <w:jc w:val="center"/>
              <w:rPr>
                <w:b/>
                <w:sz w:val="24"/>
                <w:szCs w:val="24"/>
              </w:rPr>
            </w:pPr>
            <w:r w:rsidRPr="00447E7A">
              <w:rPr>
                <w:b/>
                <w:sz w:val="24"/>
                <w:szCs w:val="24"/>
              </w:rPr>
              <w:t>МКУ «АДМИНИСТРАЦИЯ СОСНОВСКОГО СЕЛЬСКОГО ПОСЕЛЕНИЯ»</w:t>
            </w:r>
          </w:p>
          <w:p w:rsidR="00CD58F9" w:rsidRPr="00447E7A" w:rsidRDefault="00CD58F9" w:rsidP="00447E7A">
            <w:pPr>
              <w:ind w:left="567"/>
              <w:jc w:val="center"/>
              <w:rPr>
                <w:b/>
                <w:sz w:val="24"/>
                <w:szCs w:val="24"/>
              </w:rPr>
            </w:pPr>
          </w:p>
          <w:p w:rsidR="00CD58F9" w:rsidRPr="00447E7A" w:rsidRDefault="00CD58F9" w:rsidP="00447E7A">
            <w:pPr>
              <w:ind w:left="567"/>
              <w:jc w:val="center"/>
              <w:rPr>
                <w:b/>
                <w:sz w:val="24"/>
                <w:szCs w:val="24"/>
              </w:rPr>
            </w:pPr>
            <w:r w:rsidRPr="00447E7A">
              <w:rPr>
                <w:b/>
                <w:sz w:val="24"/>
                <w:szCs w:val="24"/>
              </w:rPr>
              <w:t>ПОСТАНОВЛЕНИЕ</w:t>
            </w:r>
          </w:p>
          <w:p w:rsidR="00CD58F9" w:rsidRPr="00447E7A" w:rsidRDefault="00406CA2" w:rsidP="00447E7A">
            <w:pPr>
              <w:ind w:left="9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</w:t>
            </w:r>
            <w:r w:rsidR="00C0604B">
              <w:rPr>
                <w:b/>
                <w:sz w:val="24"/>
                <w:szCs w:val="24"/>
              </w:rPr>
              <w:t>.2015</w:t>
            </w:r>
            <w:r w:rsidR="00CD58F9" w:rsidRPr="00447E7A">
              <w:rPr>
                <w:b/>
                <w:sz w:val="24"/>
                <w:szCs w:val="24"/>
              </w:rPr>
              <w:t xml:space="preserve">г                                                                                                </w:t>
            </w:r>
            <w:r w:rsidR="00C0604B">
              <w:rPr>
                <w:b/>
                <w:sz w:val="24"/>
                <w:szCs w:val="24"/>
              </w:rPr>
              <w:t xml:space="preserve">                              №</w:t>
            </w:r>
            <w:r>
              <w:rPr>
                <w:b/>
                <w:sz w:val="24"/>
                <w:szCs w:val="24"/>
              </w:rPr>
              <w:t>36</w:t>
            </w:r>
          </w:p>
          <w:p w:rsidR="007775C1" w:rsidRPr="007775C1" w:rsidRDefault="007775C1" w:rsidP="00447E7A">
            <w:pPr>
              <w:ind w:left="567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406CA2" w:rsidRDefault="00406CA2" w:rsidP="00447E7A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внесении изменений в Постановление № 9 от 20.04.2015г.</w:t>
            </w:r>
          </w:p>
          <w:p w:rsidR="007775C1" w:rsidRPr="001C1395" w:rsidRDefault="00406CA2" w:rsidP="00447E7A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F53AD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7775C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 утверждении муниципальной  программы</w:t>
            </w:r>
          </w:p>
          <w:p w:rsidR="00F53AD1" w:rsidRPr="001C1395" w:rsidRDefault="007775C1" w:rsidP="00447E7A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«Капитальный ремонт жилищного фонда</w:t>
            </w:r>
          </w:p>
          <w:p w:rsidR="007775C1" w:rsidRPr="001C1395" w:rsidRDefault="00F53AD1" w:rsidP="00447E7A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 «Сосновское </w:t>
            </w:r>
            <w:r w:rsidR="007775C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</w:t>
            </w: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 поселение»</w:t>
            </w:r>
            <w:r w:rsidR="007775C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0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2015</w:t>
            </w:r>
            <w:r w:rsidR="007775C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году»</w:t>
            </w:r>
            <w:r w:rsidR="0040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7775C1" w:rsidRPr="001C1395" w:rsidRDefault="007775C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75C1" w:rsidRPr="001C1395" w:rsidRDefault="007775C1" w:rsidP="00447E7A">
            <w:pPr>
              <w:ind w:left="567" w:firstLine="7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целях реализации Федерального закона от 06.10.2003 г. №131-ФЗ «Об общих принципах организации местного самоуправления  в Российской Федерации»</w:t>
            </w:r>
            <w:r w:rsidR="0059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Решения</w:t>
            </w:r>
            <w:r w:rsidR="00F53AD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Совета Сосновского сельс</w:t>
            </w:r>
            <w:r w:rsidR="00C0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кого поселения №79 от 29.12.2014</w:t>
            </w:r>
            <w:r w:rsidR="00F53AD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 «О бюджете МО «Сосновс</w:t>
            </w:r>
            <w:r w:rsidR="00C0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кое сельского поселения» на 2015</w:t>
            </w:r>
            <w:r w:rsidR="00F53AD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год»</w:t>
            </w: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повышения качества реформирования жилищно-коммунального хозяйства</w:t>
            </w:r>
            <w:r w:rsidR="00EE51AA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7775C1" w:rsidRPr="001C1395" w:rsidRDefault="007775C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C139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1C139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 С Т А Н О В Л Я Ю:</w:t>
            </w:r>
          </w:p>
          <w:p w:rsidR="00406CA2" w:rsidRDefault="007775C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1. </w:t>
            </w:r>
            <w:r w:rsidR="0040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Внести изменения  в</w:t>
            </w: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муниципальную программу «Капитальный ремонт жилищного фонда </w:t>
            </w:r>
            <w:r w:rsidR="00F53AD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 «Сосновское сельское поселение»</w:t>
            </w: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0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2015</w:t>
            </w:r>
            <w:r w:rsidR="0040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году»</w:t>
            </w:r>
            <w:proofErr w:type="gramStart"/>
            <w:r w:rsidR="0040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40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775C1" w:rsidRPr="001C1395" w:rsidRDefault="00406CA2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  Приложение муниципальной программы читать в новой редакции</w:t>
            </w:r>
            <w:r w:rsidR="00ED23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ED23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согласно приложения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775C1" w:rsidRPr="001C1395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775C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7775C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7775C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исполнением настоящего постано</w:t>
            </w: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вления оставляю за собой</w:t>
            </w:r>
          </w:p>
          <w:p w:rsidR="007775C1" w:rsidRPr="00F53AD1" w:rsidRDefault="007775C1" w:rsidP="00447E7A">
            <w:pPr>
              <w:ind w:left="567"/>
              <w:rPr>
                <w:rFonts w:ascii="Tahoma" w:eastAsia="Times New Roman" w:hAnsi="Tahoma" w:cs="Tahoma"/>
                <w:color w:val="333333"/>
                <w:lang w:eastAsia="ru-RU"/>
              </w:rPr>
            </w:pPr>
          </w:p>
          <w:p w:rsidR="007775C1" w:rsidRPr="007775C1" w:rsidRDefault="007775C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7775C1" w:rsidRPr="007775C1" w:rsidRDefault="007775C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7775C1" w:rsidRPr="001E09EB" w:rsidRDefault="007775C1" w:rsidP="001E09EB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0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</w:t>
            </w:r>
            <w:r w:rsidR="00F53AD1" w:rsidRPr="001E0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Сосновского </w:t>
            </w:r>
            <w:r w:rsidRPr="001E0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775C1" w:rsidRDefault="007775C1" w:rsidP="001E09EB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0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поселения </w:t>
            </w:r>
            <w:r w:rsidR="00F53AD1" w:rsidRPr="001E0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="00F53AD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Б.Л.Гришаев.</w:t>
            </w:r>
          </w:p>
          <w:p w:rsidR="00F53AD1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53AD1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53AD1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53AD1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53AD1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53AD1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53AD1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EE51AA" w:rsidRDefault="00EE51AA" w:rsidP="00447E7A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bookmarkStart w:id="0" w:name="_GoBack"/>
            <w:bookmarkEnd w:id="0"/>
          </w:p>
          <w:p w:rsidR="007775C1" w:rsidRPr="00EE51AA" w:rsidRDefault="007775C1" w:rsidP="00447E7A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51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Приложение</w:t>
            </w:r>
          </w:p>
          <w:p w:rsidR="007775C1" w:rsidRDefault="007775C1" w:rsidP="00447E7A">
            <w:pPr>
              <w:spacing w:after="0"/>
              <w:ind w:left="567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53A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к Постановлению </w:t>
            </w:r>
            <w:r w:rsidR="00F53A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Главы</w:t>
            </w:r>
          </w:p>
          <w:p w:rsidR="00F53AD1" w:rsidRPr="00F53AD1" w:rsidRDefault="00F53AD1" w:rsidP="00447E7A">
            <w:pPr>
              <w:spacing w:after="0"/>
              <w:ind w:left="567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Сосновского сельского поселения</w:t>
            </w:r>
          </w:p>
          <w:p w:rsidR="007775C1" w:rsidRPr="00EE51AA" w:rsidRDefault="007775C1" w:rsidP="00447E7A">
            <w:pPr>
              <w:spacing w:after="0"/>
              <w:ind w:left="567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53A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от </w:t>
            </w:r>
            <w:r w:rsidR="00406CA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01.12</w:t>
            </w:r>
            <w:r w:rsidR="00C0604B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.2015</w:t>
            </w:r>
            <w:r w:rsidRPr="00F53A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г.  № </w:t>
            </w:r>
            <w:r w:rsidR="00406CA2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36</w:t>
            </w:r>
          </w:p>
          <w:p w:rsidR="007775C1" w:rsidRPr="007775C1" w:rsidRDefault="007775C1" w:rsidP="00447E7A">
            <w:pPr>
              <w:ind w:left="567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  <w:p w:rsidR="007775C1" w:rsidRPr="00447E7A" w:rsidRDefault="007775C1" w:rsidP="00447E7A">
            <w:pPr>
              <w:spacing w:after="0"/>
              <w:ind w:left="567"/>
              <w:jc w:val="center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447E7A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МУНИЦИПАЛЬНАЯ ПРОГРАММА</w:t>
            </w:r>
          </w:p>
          <w:p w:rsidR="007775C1" w:rsidRPr="00447E7A" w:rsidRDefault="007775C1" w:rsidP="00447E7A">
            <w:p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47E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«Капитальный ремонт жилищного фонда</w:t>
            </w:r>
          </w:p>
          <w:p w:rsidR="007775C1" w:rsidRDefault="00EE51AA" w:rsidP="00447E7A">
            <w:p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47E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 «Сосно</w:t>
            </w:r>
            <w:r w:rsidR="00C060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вское сельское поселение» в 2015</w:t>
            </w:r>
            <w:r w:rsidR="007775C1" w:rsidRPr="00447E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</w:t>
            </w:r>
            <w:r w:rsidRPr="00447E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оду</w:t>
            </w:r>
            <w:proofErr w:type="gramStart"/>
            <w:r w:rsidR="007775C1" w:rsidRPr="00447E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.”</w:t>
            </w:r>
            <w:proofErr w:type="gramEnd"/>
          </w:p>
          <w:p w:rsidR="00714EE3" w:rsidRDefault="00714EE3" w:rsidP="00447E7A">
            <w:p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447E7A" w:rsidRPr="00714EE3" w:rsidRDefault="009054F8" w:rsidP="00447E7A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ПАСПОРТ ПРОГРАММЫ</w:t>
            </w:r>
          </w:p>
          <w:tbl>
            <w:tblPr>
              <w:tblpPr w:leftFromText="180" w:rightFromText="180" w:vertAnchor="text" w:horzAnchor="margin" w:tblpXSpec="center" w:tblpY="53"/>
              <w:tblOverlap w:val="never"/>
              <w:tblW w:w="100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7"/>
              <w:gridCol w:w="6418"/>
            </w:tblGrid>
            <w:tr w:rsidR="00447E7A" w:rsidRPr="00447E7A" w:rsidTr="009054F8">
              <w:trPr>
                <w:trHeight w:val="913"/>
              </w:trPr>
              <w:tc>
                <w:tcPr>
                  <w:tcW w:w="3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Наименование программы</w:t>
                  </w:r>
                </w:p>
              </w:tc>
              <w:tc>
                <w:tcPr>
                  <w:tcW w:w="6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ahoma" w:eastAsia="Times New Roman" w:hAnsi="Tahoma" w:cs="Tahoma"/>
                      <w:bCs/>
                      <w:color w:val="333333"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«Капитальный ремонт жилищного фонда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МО «Сосно</w:t>
                  </w:r>
                  <w:r w:rsidR="00C0604B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вское сельское поселение» в 2015</w:t>
                  </w:r>
                  <w:r w:rsidRPr="00447E7A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 году.</w:t>
                  </w:r>
                </w:p>
              </w:tc>
            </w:tr>
            <w:tr w:rsidR="00447E7A" w:rsidRPr="00447E7A" w:rsidTr="009054F8">
              <w:trPr>
                <w:trHeight w:val="720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Основание для разработки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Федеральный закон  от 06.10.2003 г. №131-ФЗ «Об общих принципах организации местного самоуправления  в Российской Федерации»,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Устав  МО «Сосновское сельское поселение»</w:t>
                  </w:r>
                </w:p>
              </w:tc>
            </w:tr>
            <w:tr w:rsidR="00447E7A" w:rsidRPr="00447E7A" w:rsidTr="009054F8">
              <w:trPr>
                <w:trHeight w:val="360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Заказчик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Администрация Сосновского сельского поселения</w:t>
                  </w:r>
                </w:p>
              </w:tc>
            </w:tr>
            <w:tr w:rsidR="00447E7A" w:rsidRPr="00447E7A" w:rsidTr="009054F8">
              <w:trPr>
                <w:trHeight w:val="360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Разработчик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Администрация Сосновского сельского поселения</w:t>
                  </w:r>
                </w:p>
              </w:tc>
            </w:tr>
            <w:tr w:rsidR="00447E7A" w:rsidRPr="00447E7A" w:rsidTr="00696118">
              <w:trPr>
                <w:trHeight w:val="2190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Цели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Symbol" w:eastAsia="Times New Roman" w:hAnsi="Symbol" w:cs="Times New Roman"/>
                      <w:color w:val="333333"/>
                      <w:sz w:val="24"/>
                      <w:szCs w:val="24"/>
                      <w:lang w:eastAsia="ru-RU"/>
                    </w:rPr>
                    <w:t>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 создание безопасных и благоприятных условий проживания граждан;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Symbol" w:eastAsia="Times New Roman" w:hAnsi="Symbol" w:cs="Times New Roman"/>
                      <w:color w:val="333333"/>
                      <w:sz w:val="24"/>
                      <w:szCs w:val="24"/>
                      <w:lang w:eastAsia="ru-RU"/>
                    </w:rPr>
                    <w:t>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 повышение качества реформирования жилищно-ком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softHyphen/>
                    <w:t>мунального хозяйства;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Symbol" w:eastAsia="Times New Roman" w:hAnsi="Symbol" w:cs="Times New Roman"/>
                      <w:color w:val="333333"/>
                      <w:sz w:val="24"/>
                      <w:szCs w:val="24"/>
                      <w:lang w:eastAsia="ru-RU"/>
                    </w:rPr>
                    <w:t>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 создание условий для выполнения обязательств муниципального образования по проведению капитального ремонта жилищного фонда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7E7A" w:rsidRPr="00447E7A" w:rsidTr="009054F8">
              <w:trPr>
                <w:trHeight w:val="1262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Задачи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1. Проведение капитального ремонта многоквартирных домов.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 Увеличение сроков эксплуатации жилищного фонда.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3. Повышение надежности инженерных систем и их развитие.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4. Снижение рисков возникновения аварийных ситуаций.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5. Создание условий для экономии эксплуатационных расходов.</w:t>
                  </w:r>
                </w:p>
              </w:tc>
            </w:tr>
            <w:tr w:rsidR="00447E7A" w:rsidRPr="00447E7A" w:rsidTr="009054F8">
              <w:trPr>
                <w:trHeight w:val="707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Важнейшие целевые 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показатели и индикаторы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1. Приведение жилищного фонда в соответствие со стандартами качества, обеспечивающими комфортные условия проживания граждан.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 Улучшение качества предоставляемых жилищно-коммунальных услуг</w:t>
                  </w:r>
                </w:p>
              </w:tc>
            </w:tr>
            <w:tr w:rsidR="00447E7A" w:rsidRPr="00447E7A" w:rsidTr="009054F8">
              <w:trPr>
                <w:trHeight w:val="480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Срок реализации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C0604B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2015</w:t>
                  </w:r>
                  <w:r w:rsidR="00447E7A"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447E7A" w:rsidRPr="00447E7A" w:rsidTr="009054F8">
              <w:trPr>
                <w:trHeight w:val="360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Участники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Администрация Со</w:t>
                  </w:r>
                  <w:r w:rsidR="006219C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сновского сельского поселения, 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предприятия и организации, привлекаемые на конкурсной основе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7E7A" w:rsidRPr="00447E7A" w:rsidTr="009054F8">
              <w:trPr>
                <w:trHeight w:val="290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Объемы и источники финансирования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F76A63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Предполагаемый общий объем финансовых средств, необходимых для реализации мероприятий Программы, составляет  </w:t>
                  </w:r>
                  <w:r w:rsidR="00F76A63" w:rsidRPr="00406CA2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893 900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рублей, за счет средств бюд</w:t>
                  </w:r>
                  <w:r w:rsidR="00C0604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жета сельского поселения на 2015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447E7A" w:rsidRPr="00447E7A" w:rsidTr="009054F8">
              <w:trPr>
                <w:trHeight w:val="1254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Ожидаемые конечные результаты выполнения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1. Безопасность и комфортность проживания граждан в многоквартирных домах.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 Повышение качества оказываемых коммунальных услуг.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3. Создание условий для развития самоуправления в жилищной сфере.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4. Снижение социальной напряженности в обществе.</w:t>
                  </w:r>
                </w:p>
              </w:tc>
            </w:tr>
            <w:tr w:rsidR="00447E7A" w:rsidRPr="00447E7A" w:rsidTr="009054F8">
              <w:trPr>
                <w:trHeight w:val="480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Управление Программой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296756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Координацию деятельности участников Программы по ее реализации осуществляет Глава Сосновского сельского поселения, Совет Сосновского сельского поселения</w:t>
                  </w:r>
                </w:p>
              </w:tc>
            </w:tr>
          </w:tbl>
          <w:p w:rsidR="007775C1" w:rsidRPr="009054F8" w:rsidRDefault="007775C1" w:rsidP="009054F8">
            <w:pPr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9054F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Раздел 1. Содержание проблемы и обоснование необходимости ее решения программными методами</w:t>
            </w:r>
          </w:p>
          <w:p w:rsidR="007775C1" w:rsidRPr="00714EE3" w:rsidRDefault="007775C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настоящее время жилищный фо</w:t>
            </w:r>
            <w:r w:rsidR="00E0297B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нд в муниципальном образовании «Сосновское с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ельское поселени</w:t>
            </w:r>
            <w:r w:rsidR="00E0297B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е»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характеризуется большим процентом износа конструктивных элементов многоквартирных домов, таких как: кровли, фасады, внутридомовые инженерные системы </w:t>
            </w:r>
            <w:r w:rsidR="00D7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электро-, тепло-, водоснабжения. 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связи с этим увеличивается процент возникновения аварийных ситуаций, происходят большие потери энергоносителей.</w:t>
            </w:r>
          </w:p>
          <w:p w:rsidR="007775C1" w:rsidRPr="00714EE3" w:rsidRDefault="00E0297B" w:rsidP="00447E7A">
            <w:pPr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состоянию на 01.</w:t>
            </w:r>
            <w:r w:rsidR="001E0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.201</w:t>
            </w:r>
            <w:r w:rsidR="00C0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7775C1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 на территории муниципального образования расположено и находится в муницип</w:t>
            </w:r>
            <w:r w:rsidR="005935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6219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льной собственности поселения 60</w:t>
            </w:r>
            <w:r w:rsidR="007775C1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многоквартирных жилых домов. Из них на сегодняшний день практически весь жилищный фонд требует капитального ремонта отдельных конструктивных элементов или инженерных систем. Учитывая итоги общих осмотров жилищ</w:t>
            </w:r>
            <w:r w:rsidR="00C0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ного фонда в осенний период 2014</w:t>
            </w:r>
            <w:r w:rsidR="007775C1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г., 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Администрацией Сосновского сельского поселения и жилищной комиссией </w:t>
            </w:r>
            <w:r w:rsidR="007775C1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подготовке жилищного фонда муниципального образован</w:t>
            </w:r>
            <w:r w:rsidR="00C0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ия к работе в зимний период </w:t>
            </w:r>
            <w:r w:rsidR="001E0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</w:t>
            </w:r>
            <w:r w:rsidR="006219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г</w:t>
            </w:r>
            <w:r w:rsidR="007775C1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были выявлены объекты, которые более других требуют проведения капитального ремонта по отдельным видам работ.</w:t>
            </w:r>
          </w:p>
          <w:p w:rsidR="007775C1" w:rsidRPr="00714EE3" w:rsidRDefault="007775C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Средства, ежегодно выделяемые из местного бюджета на проведение капитальных ремонтов многоквартирных домов, недостаточны для приведения в надлежащее состояние всего жилищного фонда в муниципальном образовании, но помогают решать наиболее остро стоящие</w:t>
            </w:r>
            <w:r w:rsidR="00D7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проблемы.</w:t>
            </w:r>
          </w:p>
          <w:p w:rsidR="007775C1" w:rsidRPr="009054F8" w:rsidRDefault="007775C1" w:rsidP="009054F8">
            <w:pPr>
              <w:spacing w:after="0"/>
              <w:ind w:left="567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9054F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2. Основные цели и задачи Программы, сроки ее реализации,</w:t>
            </w:r>
          </w:p>
          <w:p w:rsidR="007775C1" w:rsidRPr="009054F8" w:rsidRDefault="007775C1" w:rsidP="009054F8">
            <w:pPr>
              <w:spacing w:after="0"/>
              <w:ind w:left="567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9054F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целевые индикаторы и показатели.</w:t>
            </w:r>
          </w:p>
          <w:p w:rsidR="002637E4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Целью Программы является: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Symbol" w:eastAsia="Times New Roman" w:hAnsi="Symbol" w:cs="Times New Roman"/>
                <w:color w:val="333333"/>
                <w:sz w:val="24"/>
                <w:szCs w:val="24"/>
                <w:lang w:eastAsia="ru-RU"/>
              </w:rPr>
              <w:t></w:t>
            </w:r>
            <w:r w:rsidR="002637E4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граждан;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Symbol" w:eastAsia="Times New Roman" w:hAnsi="Symbol" w:cs="Times New Roman"/>
                <w:color w:val="333333"/>
                <w:sz w:val="24"/>
                <w:szCs w:val="24"/>
                <w:lang w:eastAsia="ru-RU"/>
              </w:rPr>
              <w:t>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повышение качества реформирования жилищно-ком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мунального хозяйства;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Symbol" w:eastAsia="Times New Roman" w:hAnsi="Symbol" w:cs="Times New Roman"/>
                <w:color w:val="333333"/>
                <w:sz w:val="24"/>
                <w:szCs w:val="24"/>
                <w:lang w:eastAsia="ru-RU"/>
              </w:rPr>
              <w:t>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создание условий для выполнения обязательств муниципального образования по проведению капитального ремонта жилищного фонда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достижения поставленных целей необходима реализация следующих задач</w:t>
            </w:r>
            <w:r w:rsidRPr="00714EE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: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Symbol" w:eastAsia="Times New Roman" w:hAnsi="Symbol" w:cs="Tahoma"/>
                <w:color w:val="333333"/>
                <w:sz w:val="24"/>
                <w:szCs w:val="24"/>
                <w:lang w:eastAsia="ru-RU"/>
              </w:rPr>
              <w:lastRenderedPageBreak/>
              <w:t>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Проведение капитального ремонта многоквартирных домов.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Symbol" w:eastAsia="Times New Roman" w:hAnsi="Symbol" w:cs="Tahoma"/>
                <w:color w:val="333333"/>
                <w:sz w:val="24"/>
                <w:szCs w:val="24"/>
                <w:lang w:eastAsia="ru-RU"/>
              </w:rPr>
              <w:t>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Увеличение сроков эксплуатации жилищного фонда.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Symbol" w:eastAsia="Times New Roman" w:hAnsi="Symbol" w:cs="Tahoma"/>
                <w:color w:val="333333"/>
                <w:sz w:val="24"/>
                <w:szCs w:val="24"/>
                <w:lang w:eastAsia="ru-RU"/>
              </w:rPr>
              <w:t>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Повышение надежности инженерных систем и их развитие.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Symbol" w:eastAsia="Times New Roman" w:hAnsi="Symbol" w:cs="Tahoma"/>
                <w:color w:val="333333"/>
                <w:sz w:val="24"/>
                <w:szCs w:val="24"/>
                <w:lang w:eastAsia="ru-RU"/>
              </w:rPr>
              <w:t>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Снижение рисков возникновения аварийных ситуаций.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Symbol" w:eastAsia="Times New Roman" w:hAnsi="Symbol" w:cs="Tahoma"/>
                <w:color w:val="333333"/>
                <w:sz w:val="24"/>
                <w:szCs w:val="24"/>
                <w:lang w:eastAsia="ru-RU"/>
              </w:rPr>
              <w:t>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Создание условий для экономии эксплуатационных расходов.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Настоящая Программа планиру</w:t>
            </w:r>
            <w:r w:rsidR="00C0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ется к реализации в течение 2015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года, и позволит осуществить проведение следующих видов работы: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           капитальный ремонт </w:t>
            </w:r>
            <w:r w:rsidR="002637E4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печного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отопления</w:t>
            </w:r>
            <w:r w:rsidR="002637E4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          капитальный ремонт кровель;</w:t>
            </w:r>
          </w:p>
          <w:p w:rsidR="007775C1" w:rsidRPr="007775C1" w:rsidRDefault="002637E4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         </w:t>
            </w:r>
            <w:r w:rsidR="001A0D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</w:t>
            </w:r>
            <w:r w:rsidRPr="00D7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выборочный капитальный ремонт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2637E4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3. Перечень программных мероприятий</w:t>
            </w:r>
          </w:p>
          <w:p w:rsidR="007775C1" w:rsidRPr="00D75530" w:rsidRDefault="007775C1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Программа предусматривает мероприятия, способные активно улучшить состояние жилищного фонда муниципального образования, снизить аварийность и потери </w:t>
            </w:r>
            <w:proofErr w:type="spellStart"/>
            <w:r w:rsidRPr="00D7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теплоресурсов</w:t>
            </w:r>
            <w:proofErr w:type="spellEnd"/>
            <w:r w:rsidRPr="00D7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объектах,</w:t>
            </w:r>
            <w:r w:rsidR="00B04898" w:rsidRPr="00D7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улучшить обеспечение населения. </w:t>
            </w:r>
            <w:r w:rsidRPr="00D7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основных программных мероприятий приведен в приложении № 1 к настоящей Программе.</w:t>
            </w:r>
          </w:p>
          <w:p w:rsidR="007775C1" w:rsidRPr="007775C1" w:rsidRDefault="007775C1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4. Обоснование ресурсного обеспечения Программы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Источниками финансирования Программы являются средства местного бюд</w:t>
            </w:r>
            <w:r w:rsidR="00C0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жета на 2015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 в размере </w:t>
            </w:r>
            <w:r w:rsidR="00F76A63" w:rsidRPr="00406CA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893 900</w:t>
            </w:r>
            <w:r w:rsidR="00F76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рублей. Конкретный объем финансирования мероприятий Программы за счет средств местного бюджета уточняется и устанавливается Советом </w:t>
            </w:r>
            <w:r w:rsidR="00B04898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Сосновского сельского поселения 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формировании и исп</w:t>
            </w:r>
            <w:r w:rsidR="00C060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олнении местного бюджета на 2015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год, исходя из возможностей местного бюджета.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5. Механизм реализации Программы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Механизм реализации Программы основан на скоординированных по срокам и направлениям действиях исполнителей и участников программных мероприятий по достижению намеченных целей. В рамках своих полномочий администрация сельского поселения, управляющая организация, предприятия и организации, привлекаемые на конкурсной основе для проведения капитального ремонта многоквартирных домов,  выполняют целевые мероприятия Программы за счет средств, предусмотренных на реализацию Программы.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ходом реализации Программы осуществляют глава</w:t>
            </w:r>
            <w:r w:rsidR="00B04898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Сосновского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</w:t>
            </w:r>
            <w:r w:rsidR="00B04898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Совет  Сосновского 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работ по реализации Программы осуществляется </w:t>
            </w:r>
            <w:r w:rsidR="00B04898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администрацией Сосновского 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7775C1" w:rsidRPr="00714EE3" w:rsidRDefault="00B04898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Сосновского </w:t>
            </w:r>
            <w:r w:rsidR="007775C1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контролирует реализацию мероприятий. В установленном порядке и сроки предоставляет в 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 Сосновского сельского поселения</w:t>
            </w:r>
            <w:r w:rsidR="007775C1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планирования и управления муниципальной собственностью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612E0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775C1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информацию о целевом использовании средств, выделенных на реализацию мероприятий Программы из бюджета, а также об объеме освоенных средств.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учетом ресурсного обеспечения реализации Программы и возможного изменения в ходе ее реализации приоритетов выполнения ремонтных работ, в перечень мероприятий возможно внесение соответствующих изменений и дополнений.</w:t>
            </w:r>
          </w:p>
          <w:p w:rsidR="007775C1" w:rsidRPr="00714EE3" w:rsidRDefault="001C1395" w:rsidP="001C1395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       </w:t>
            </w:r>
            <w:r w:rsidR="007775C1" w:rsidRPr="00714EE3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6. Оценка эффективности социально-экономических результатов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реализации Программы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результате реализации Программы ожидается достижение следующих показателей: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Повышение безопасности и комфортности проживания граждан в многоквартирных домах;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Повышение качества оказываемых коммунальных услуг;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Создание условий для развития самоуправления в жилищной сфере;</w:t>
            </w:r>
          </w:p>
          <w:p w:rsidR="007775C1" w:rsidRDefault="007775C1" w:rsidP="001C139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Снижение социальной напряженности в обществе.</w:t>
            </w:r>
          </w:p>
          <w:p w:rsidR="001C1395" w:rsidRPr="001C1395" w:rsidRDefault="001C1395" w:rsidP="001C139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535" w:tblpY="-1371"/>
        <w:tblW w:w="1525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8"/>
      </w:tblGrid>
      <w:tr w:rsidR="00406CA2" w:rsidRPr="007775C1" w:rsidTr="009F7A57">
        <w:trPr>
          <w:trHeight w:val="2694"/>
          <w:tblCellSpacing w:w="0" w:type="dxa"/>
        </w:trPr>
        <w:tc>
          <w:tcPr>
            <w:tcW w:w="15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A2" w:rsidRDefault="00406CA2" w:rsidP="009F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  </w:t>
            </w:r>
          </w:p>
          <w:p w:rsidR="00406CA2" w:rsidRPr="00714EE3" w:rsidRDefault="00406CA2" w:rsidP="009F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Приложение №1</w:t>
            </w:r>
          </w:p>
          <w:p w:rsidR="00406CA2" w:rsidRPr="00406CA2" w:rsidRDefault="00406CA2" w:rsidP="009F7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 муниципальной программе</w:t>
            </w:r>
          </w:p>
          <w:p w:rsidR="00406CA2" w:rsidRPr="00406DB9" w:rsidRDefault="00406CA2" w:rsidP="009F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D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</w:t>
            </w:r>
            <w:r w:rsidRPr="00406D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Мероприятия и объем финансирования муниципальной программы</w:t>
            </w:r>
          </w:p>
          <w:p w:rsidR="00406CA2" w:rsidRPr="007775C1" w:rsidRDefault="00406CA2" w:rsidP="009F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</w:t>
            </w:r>
            <w:r w:rsidRPr="00406D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«Капитальный  ремонт  жилищного  фонда МО «Соснов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ское сельское поселение» на 2015</w:t>
            </w:r>
            <w:r w:rsidRPr="00406D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год</w:t>
            </w:r>
            <w:proofErr w:type="gramStart"/>
            <w:r w:rsidRPr="00406D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.”</w:t>
            </w:r>
            <w:proofErr w:type="gramEnd"/>
          </w:p>
          <w:tbl>
            <w:tblPr>
              <w:tblpPr w:leftFromText="180" w:rightFromText="180" w:vertAnchor="text" w:horzAnchor="page" w:tblpX="416" w:tblpY="242"/>
              <w:tblOverlap w:val="never"/>
              <w:tblW w:w="974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4"/>
              <w:gridCol w:w="1642"/>
              <w:gridCol w:w="1972"/>
              <w:gridCol w:w="3059"/>
            </w:tblGrid>
            <w:tr w:rsidR="00406CA2" w:rsidRPr="001D2CE1" w:rsidTr="009F7A57">
              <w:trPr>
                <w:trHeight w:val="1260"/>
              </w:trPr>
              <w:tc>
                <w:tcPr>
                  <w:tcW w:w="30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CA2" w:rsidRPr="001E09EB" w:rsidRDefault="00406CA2" w:rsidP="009F7A5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  <w:p w:rsidR="00406CA2" w:rsidRPr="00AC7B6A" w:rsidRDefault="00406CA2" w:rsidP="009F7A5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Наименование  работ</w:t>
                  </w:r>
                </w:p>
              </w:tc>
              <w:tc>
                <w:tcPr>
                  <w:tcW w:w="16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CA2" w:rsidRPr="001E09EB" w:rsidRDefault="00406CA2" w:rsidP="009F7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1E09E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Объем</w:t>
                  </w:r>
                </w:p>
                <w:p w:rsidR="00406CA2" w:rsidRPr="001E09EB" w:rsidRDefault="00406CA2" w:rsidP="009F7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1E09E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выполняемых работ м.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 xml:space="preserve"> </w:t>
                  </w:r>
                  <w:r w:rsidRPr="001E09E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кв.</w:t>
                  </w:r>
                </w:p>
              </w:tc>
              <w:tc>
                <w:tcPr>
                  <w:tcW w:w="19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CA2" w:rsidRPr="001E09EB" w:rsidRDefault="00406CA2" w:rsidP="009F7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1E09E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Объем финансирования, тыс. руб.</w:t>
                  </w:r>
                </w:p>
              </w:tc>
              <w:tc>
                <w:tcPr>
                  <w:tcW w:w="30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CA2" w:rsidRPr="001E09EB" w:rsidRDefault="00406CA2" w:rsidP="009F7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  <w:p w:rsidR="00406CA2" w:rsidRPr="001E09EB" w:rsidRDefault="00406CA2" w:rsidP="009F7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1E09EB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Исполнитель</w:t>
                  </w:r>
                </w:p>
              </w:tc>
            </w:tr>
            <w:tr w:rsidR="00406CA2" w:rsidRPr="00714EE3" w:rsidTr="009F7A57">
              <w:tc>
                <w:tcPr>
                  <w:tcW w:w="3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CA2" w:rsidRPr="00AC7B6A" w:rsidRDefault="00406CA2" w:rsidP="009F7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C7B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1. Выборочный капитальный ремонт: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BA2215" w:rsidRDefault="00406CA2" w:rsidP="009F7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107,9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BA2215" w:rsidRDefault="00406CA2" w:rsidP="009F7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196 769,00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06CA2" w:rsidRPr="00714EE3" w:rsidRDefault="00406CA2" w:rsidP="009F7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6CA2" w:rsidRPr="00714EE3" w:rsidTr="009F7A57">
              <w:tc>
                <w:tcPr>
                  <w:tcW w:w="3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714EE3" w:rsidRDefault="00406CA2" w:rsidP="009F7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 Сосновка:  ул. Школьная 11 кв.1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714EE3" w:rsidRDefault="00406CA2" w:rsidP="009F7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47,5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714EE3" w:rsidRDefault="00406CA2" w:rsidP="009F7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111 658,00</w:t>
                  </w:r>
                </w:p>
              </w:tc>
              <w:tc>
                <w:tcPr>
                  <w:tcW w:w="3059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406CA2" w:rsidRPr="00714EE3" w:rsidRDefault="00406CA2" w:rsidP="009F7A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 итогам торгов</w:t>
                  </w:r>
                </w:p>
              </w:tc>
            </w:tr>
            <w:tr w:rsidR="00406CA2" w:rsidRPr="00714EE3" w:rsidTr="009F7A57">
              <w:trPr>
                <w:trHeight w:val="332"/>
              </w:trPr>
              <w:tc>
                <w:tcPr>
                  <w:tcW w:w="3074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714EE3" w:rsidRDefault="00406CA2" w:rsidP="009F7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п.Восток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Заводская 24 кв.1; (Веранда)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714EE3" w:rsidRDefault="00406CA2" w:rsidP="009F7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60,4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714EE3" w:rsidRDefault="00406CA2" w:rsidP="009F7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85 111,00</w:t>
                  </w:r>
                </w:p>
              </w:tc>
              <w:tc>
                <w:tcPr>
                  <w:tcW w:w="3059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406CA2" w:rsidRPr="00714EE3" w:rsidRDefault="00406CA2" w:rsidP="009F7A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6CA2" w:rsidRPr="00714EE3" w:rsidTr="009F7A57">
              <w:trPr>
                <w:trHeight w:val="338"/>
              </w:trPr>
              <w:tc>
                <w:tcPr>
                  <w:tcW w:w="307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CD209F" w:rsidRDefault="00406CA2" w:rsidP="009F7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A2215">
                    <w:rPr>
                      <w:rFonts w:ascii="Times New Roman" w:eastAsia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  <w:lang w:eastAsia="ru-RU"/>
                    </w:rPr>
                    <w:t xml:space="preserve">2. Ремонт кровли 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F76A63" w:rsidRDefault="00406CA2" w:rsidP="009F7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F76A63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298,9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714EE3" w:rsidRDefault="00406CA2" w:rsidP="009F7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399 782,19</w:t>
                  </w:r>
                </w:p>
              </w:tc>
              <w:tc>
                <w:tcPr>
                  <w:tcW w:w="3059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06CA2" w:rsidRPr="00714EE3" w:rsidRDefault="00406CA2" w:rsidP="009F7A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6CA2" w:rsidRPr="00714EE3" w:rsidTr="009F7A57">
              <w:trPr>
                <w:trHeight w:val="240"/>
              </w:trPr>
              <w:tc>
                <w:tcPr>
                  <w:tcW w:w="3074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1E4171" w:rsidRDefault="00406CA2" w:rsidP="009F7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41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п.Восток ул. О. Борзилова 1 кв.2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1E4171" w:rsidRDefault="00406CA2" w:rsidP="009F7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41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67,3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1E4171" w:rsidRDefault="00406CA2" w:rsidP="009F7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41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93 542,00</w:t>
                  </w:r>
                </w:p>
              </w:tc>
              <w:tc>
                <w:tcPr>
                  <w:tcW w:w="3059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vAlign w:val="center"/>
                </w:tcPr>
                <w:p w:rsidR="00406CA2" w:rsidRPr="00714EE3" w:rsidRDefault="00406CA2" w:rsidP="009F7A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ИП Чернов</w:t>
                  </w:r>
                </w:p>
              </w:tc>
            </w:tr>
            <w:tr w:rsidR="00406CA2" w:rsidRPr="00714EE3" w:rsidTr="009F7A57">
              <w:trPr>
                <w:trHeight w:val="413"/>
              </w:trPr>
              <w:tc>
                <w:tcPr>
                  <w:tcW w:w="307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1E4171" w:rsidRDefault="00406CA2" w:rsidP="009F7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41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п.Восток.  ул. Заводская 7кв 2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1E4171" w:rsidRDefault="00406CA2" w:rsidP="009F7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41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77,8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1E4171" w:rsidRDefault="00406CA2" w:rsidP="009F7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41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202 231,00</w:t>
                  </w:r>
                </w:p>
              </w:tc>
              <w:tc>
                <w:tcPr>
                  <w:tcW w:w="3059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406CA2" w:rsidRPr="00714EE3" w:rsidRDefault="00406CA2" w:rsidP="009F7A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6CA2" w:rsidRPr="00714EE3" w:rsidTr="009F7A57">
              <w:trPr>
                <w:trHeight w:val="450"/>
              </w:trPr>
              <w:tc>
                <w:tcPr>
                  <w:tcW w:w="307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1E4171" w:rsidRDefault="00406CA2" w:rsidP="009F7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41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.Восток</w:t>
                  </w:r>
                  <w:proofErr w:type="gramStart"/>
                  <w:r w:rsidRPr="001E41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1E41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gramStart"/>
                  <w:r w:rsidRPr="001E41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</w:t>
                  </w:r>
                  <w:proofErr w:type="gramEnd"/>
                  <w:r w:rsidRPr="001E41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л. Заводская 7кв 1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1E4171" w:rsidRDefault="00406CA2" w:rsidP="009F7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41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76,9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1E4171" w:rsidRDefault="00406CA2" w:rsidP="009F7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41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99 000,00</w:t>
                  </w:r>
                </w:p>
              </w:tc>
              <w:tc>
                <w:tcPr>
                  <w:tcW w:w="3059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406CA2" w:rsidRPr="00714EE3" w:rsidRDefault="00406CA2" w:rsidP="009F7A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6CA2" w:rsidRPr="00714EE3" w:rsidTr="009F7A57">
              <w:trPr>
                <w:trHeight w:val="365"/>
              </w:trPr>
              <w:tc>
                <w:tcPr>
                  <w:tcW w:w="3074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1E4171" w:rsidRDefault="00406CA2" w:rsidP="009F7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41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Восток.  ул. Заводская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33</w:t>
                  </w:r>
                  <w:r w:rsidRPr="001E417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кв 1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(частичный ремонт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-ф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ронтон)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1E4171" w:rsidRDefault="00406CA2" w:rsidP="009F7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76,9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1E4171" w:rsidRDefault="00406CA2" w:rsidP="009F7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5  009,19</w:t>
                  </w:r>
                </w:p>
              </w:tc>
              <w:tc>
                <w:tcPr>
                  <w:tcW w:w="3059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406CA2" w:rsidRPr="00714EE3" w:rsidRDefault="00406CA2" w:rsidP="009F7A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6CA2" w:rsidRPr="00714EE3" w:rsidTr="009F7A57">
              <w:trPr>
                <w:trHeight w:val="485"/>
              </w:trPr>
              <w:tc>
                <w:tcPr>
                  <w:tcW w:w="307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AC7B6A" w:rsidRDefault="00406CA2" w:rsidP="009F7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AC7B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3. Капитальный ремонт печного  отопления: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F76A63" w:rsidRDefault="00406CA2" w:rsidP="009F7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F76A63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322,4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4F6650" w:rsidRDefault="00406CA2" w:rsidP="009F7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233 800,00</w:t>
                  </w:r>
                </w:p>
              </w:tc>
              <w:tc>
                <w:tcPr>
                  <w:tcW w:w="3059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406CA2" w:rsidRPr="00714EE3" w:rsidRDefault="00406CA2" w:rsidP="009F7A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6CA2" w:rsidRPr="00714EE3" w:rsidTr="009F7A57">
              <w:trPr>
                <w:trHeight w:val="271"/>
              </w:trPr>
              <w:tc>
                <w:tcPr>
                  <w:tcW w:w="30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Default="00406CA2" w:rsidP="009F7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С.Сосновка, </w:t>
                  </w:r>
                </w:p>
                <w:p w:rsidR="00406CA2" w:rsidRPr="00714EE3" w:rsidRDefault="00406CA2" w:rsidP="009F7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ул. Береговая 15кв.1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714EE3" w:rsidRDefault="00406CA2" w:rsidP="009F7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33,2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714EE3" w:rsidRDefault="00406CA2" w:rsidP="009F7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33 200,00</w:t>
                  </w:r>
                </w:p>
              </w:tc>
              <w:tc>
                <w:tcPr>
                  <w:tcW w:w="3059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406CA2" w:rsidRPr="00714EE3" w:rsidRDefault="00406CA2" w:rsidP="009F7A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6CA2" w:rsidRPr="00714EE3" w:rsidTr="009F7A57">
              <w:tc>
                <w:tcPr>
                  <w:tcW w:w="307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Default="00406CA2" w:rsidP="009F7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С. Сосновка </w:t>
                  </w:r>
                </w:p>
                <w:p w:rsidR="00406CA2" w:rsidRPr="00714EE3" w:rsidRDefault="00406CA2" w:rsidP="009F7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ул. Молодежная 8 кв.2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714EE3" w:rsidRDefault="00406CA2" w:rsidP="009F7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67,2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714EE3" w:rsidRDefault="00406CA2" w:rsidP="009F7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33 400,00</w:t>
                  </w:r>
                </w:p>
              </w:tc>
              <w:tc>
                <w:tcPr>
                  <w:tcW w:w="3059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406CA2" w:rsidRPr="00714EE3" w:rsidRDefault="00406CA2" w:rsidP="009F7A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6CA2" w:rsidRPr="00714EE3" w:rsidTr="009F7A57">
              <w:tc>
                <w:tcPr>
                  <w:tcW w:w="3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Default="00406CA2" w:rsidP="009F7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С.Сосновка,</w:t>
                  </w:r>
                </w:p>
                <w:p w:rsidR="00406CA2" w:rsidRPr="00714EE3" w:rsidRDefault="00406CA2" w:rsidP="009F7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ул. Школьная 8 кв.1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714EE3" w:rsidRDefault="00406CA2" w:rsidP="009F7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32,4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714EE3" w:rsidRDefault="00406CA2" w:rsidP="009F7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33 200,00</w:t>
                  </w:r>
                </w:p>
              </w:tc>
              <w:tc>
                <w:tcPr>
                  <w:tcW w:w="3059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406CA2" w:rsidRPr="00714EE3" w:rsidRDefault="00406CA2" w:rsidP="009F7A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6CA2" w:rsidRPr="00714EE3" w:rsidTr="009F7A57">
              <w:tc>
                <w:tcPr>
                  <w:tcW w:w="3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714EE3" w:rsidRDefault="00406CA2" w:rsidP="009F7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С.Сосновка, ул. Школьная 7 кв.2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714EE3" w:rsidRDefault="00406CA2" w:rsidP="009F7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28,6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714EE3" w:rsidRDefault="00406CA2" w:rsidP="009F7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33 000,00</w:t>
                  </w:r>
                </w:p>
              </w:tc>
              <w:tc>
                <w:tcPr>
                  <w:tcW w:w="3059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406CA2" w:rsidRPr="00714EE3" w:rsidRDefault="00406CA2" w:rsidP="009F7A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6CA2" w:rsidRPr="00714EE3" w:rsidTr="009F7A57">
              <w:tc>
                <w:tcPr>
                  <w:tcW w:w="3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714EE3" w:rsidRDefault="00406CA2" w:rsidP="009F7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С.Сосновка, ул. Школьная 1 кв.1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714EE3" w:rsidRDefault="00406CA2" w:rsidP="009F7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64,2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714EE3" w:rsidRDefault="00406CA2" w:rsidP="009F7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33 000,00</w:t>
                  </w:r>
                </w:p>
              </w:tc>
              <w:tc>
                <w:tcPr>
                  <w:tcW w:w="3059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406CA2" w:rsidRPr="00714EE3" w:rsidRDefault="00406CA2" w:rsidP="009F7A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6CA2" w:rsidRPr="00714EE3" w:rsidTr="009F7A57">
              <w:trPr>
                <w:trHeight w:val="551"/>
              </w:trPr>
              <w:tc>
                <w:tcPr>
                  <w:tcW w:w="30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5E5E4F" w:rsidRDefault="00406CA2" w:rsidP="009F7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E5E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С.Сосновка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, ул. Школьная 1 кв.2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5E5E4F" w:rsidRDefault="00406CA2" w:rsidP="009F7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65,3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5E5E4F" w:rsidRDefault="00406CA2" w:rsidP="009F7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33 000,00</w:t>
                  </w:r>
                </w:p>
              </w:tc>
              <w:tc>
                <w:tcPr>
                  <w:tcW w:w="3059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406CA2" w:rsidRPr="00714EE3" w:rsidRDefault="00406CA2" w:rsidP="009F7A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6CA2" w:rsidRPr="00714EE3" w:rsidTr="009F7A57">
              <w:trPr>
                <w:trHeight w:val="506"/>
              </w:trPr>
              <w:tc>
                <w:tcPr>
                  <w:tcW w:w="307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5E5E4F" w:rsidRDefault="00406CA2" w:rsidP="009F7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E5E4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С.Сосновка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, ул. Школьная 8 кв.3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Default="00406CA2" w:rsidP="009F7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31,5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Default="00406CA2" w:rsidP="009F7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35 000,00</w:t>
                  </w:r>
                </w:p>
              </w:tc>
              <w:tc>
                <w:tcPr>
                  <w:tcW w:w="3059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406CA2" w:rsidRPr="00714EE3" w:rsidRDefault="00406CA2" w:rsidP="009F7A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6CA2" w:rsidRPr="00714EE3" w:rsidTr="009F7A57">
              <w:trPr>
                <w:trHeight w:val="589"/>
              </w:trPr>
              <w:tc>
                <w:tcPr>
                  <w:tcW w:w="307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522A45" w:rsidRDefault="00406CA2" w:rsidP="009F7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Выборочный  ремонт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 xml:space="preserve"> (Замена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окон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локов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F76A63" w:rsidRDefault="00406CA2" w:rsidP="009F7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F76A63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80,3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522A45" w:rsidRDefault="00406CA2" w:rsidP="009F7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522A4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2A4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  <w:tc>
                <w:tcPr>
                  <w:tcW w:w="3059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406CA2" w:rsidRPr="00522A45" w:rsidRDefault="00406CA2" w:rsidP="009F7A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6CA2" w:rsidRPr="00714EE3" w:rsidTr="009F7A57">
              <w:trPr>
                <w:trHeight w:val="601"/>
              </w:trPr>
              <w:tc>
                <w:tcPr>
                  <w:tcW w:w="307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5E5E4F" w:rsidRDefault="00406CA2" w:rsidP="009F7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С. Сосновка, ул. Школьная 4 кв.3 (1 штуки)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Default="00406CA2" w:rsidP="009F7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31,4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Default="00406CA2" w:rsidP="009F7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14 500,00</w:t>
                  </w:r>
                </w:p>
              </w:tc>
              <w:tc>
                <w:tcPr>
                  <w:tcW w:w="3059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</w:tcPr>
                <w:p w:rsidR="00406CA2" w:rsidRPr="00714EE3" w:rsidRDefault="00406CA2" w:rsidP="009F7A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6CA2" w:rsidRPr="00714EE3" w:rsidTr="009F7A57">
              <w:trPr>
                <w:trHeight w:val="501"/>
              </w:trPr>
              <w:tc>
                <w:tcPr>
                  <w:tcW w:w="307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Default="00406CA2" w:rsidP="009F7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П. Восток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ул. Заводская 10 кв.1(4 штуки)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Default="00406CA2" w:rsidP="009F7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48,9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Default="00406CA2" w:rsidP="009F7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49 000,00</w:t>
                  </w:r>
                </w:p>
              </w:tc>
              <w:tc>
                <w:tcPr>
                  <w:tcW w:w="3059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06CA2" w:rsidRPr="00714EE3" w:rsidRDefault="00406CA2" w:rsidP="009F7A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6CA2" w:rsidRPr="001D2CE1" w:rsidTr="009F7A57">
              <w:trPr>
                <w:trHeight w:val="72"/>
              </w:trPr>
              <w:tc>
                <w:tcPr>
                  <w:tcW w:w="3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CA2" w:rsidRPr="00714EE3" w:rsidRDefault="00406CA2" w:rsidP="009F7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  <w:r w:rsidRPr="00714EE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BA2215" w:rsidRDefault="00406CA2" w:rsidP="009F7A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809,5</w:t>
                  </w:r>
                </w:p>
              </w:tc>
              <w:tc>
                <w:tcPr>
                  <w:tcW w:w="1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6CA2" w:rsidRPr="00BA2215" w:rsidRDefault="00406CA2" w:rsidP="009F7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893 851,19</w:t>
                  </w: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6CA2" w:rsidRPr="00714EE3" w:rsidRDefault="00406CA2" w:rsidP="009F7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406CA2" w:rsidRPr="007775C1" w:rsidRDefault="00406CA2" w:rsidP="009F7A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316FE" w:rsidRDefault="006316FE" w:rsidP="00551723">
      <w:pPr>
        <w:spacing w:line="240" w:lineRule="auto"/>
      </w:pPr>
    </w:p>
    <w:sectPr w:rsidR="006316FE" w:rsidSect="00C81D7D">
      <w:pgSz w:w="11907" w:h="16839" w:code="9"/>
      <w:pgMar w:top="42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6FB3"/>
    <w:multiLevelType w:val="multilevel"/>
    <w:tmpl w:val="8E38A7C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C1"/>
    <w:rsid w:val="000230C3"/>
    <w:rsid w:val="00053763"/>
    <w:rsid w:val="000B5178"/>
    <w:rsid w:val="000F39C4"/>
    <w:rsid w:val="00147D10"/>
    <w:rsid w:val="00170407"/>
    <w:rsid w:val="00183270"/>
    <w:rsid w:val="001A0D1C"/>
    <w:rsid w:val="001C1395"/>
    <w:rsid w:val="001C26EC"/>
    <w:rsid w:val="001D2CE1"/>
    <w:rsid w:val="001E09EB"/>
    <w:rsid w:val="001E4171"/>
    <w:rsid w:val="001F1914"/>
    <w:rsid w:val="002637E4"/>
    <w:rsid w:val="0028312A"/>
    <w:rsid w:val="00296756"/>
    <w:rsid w:val="002A2D40"/>
    <w:rsid w:val="002C70EE"/>
    <w:rsid w:val="00306353"/>
    <w:rsid w:val="00406CA2"/>
    <w:rsid w:val="00406DB9"/>
    <w:rsid w:val="00447E7A"/>
    <w:rsid w:val="004C4CD9"/>
    <w:rsid w:val="004F6650"/>
    <w:rsid w:val="005023E9"/>
    <w:rsid w:val="00522A45"/>
    <w:rsid w:val="00551723"/>
    <w:rsid w:val="005935D3"/>
    <w:rsid w:val="005E5E4F"/>
    <w:rsid w:val="005F47CA"/>
    <w:rsid w:val="005F7364"/>
    <w:rsid w:val="006219CF"/>
    <w:rsid w:val="006316FE"/>
    <w:rsid w:val="006435BE"/>
    <w:rsid w:val="00686189"/>
    <w:rsid w:val="00696118"/>
    <w:rsid w:val="006B5257"/>
    <w:rsid w:val="006C0944"/>
    <w:rsid w:val="006E2D60"/>
    <w:rsid w:val="00714EE3"/>
    <w:rsid w:val="00744B50"/>
    <w:rsid w:val="007775C1"/>
    <w:rsid w:val="007C4E38"/>
    <w:rsid w:val="007F4B42"/>
    <w:rsid w:val="00800046"/>
    <w:rsid w:val="008211C7"/>
    <w:rsid w:val="008612E0"/>
    <w:rsid w:val="008B1E9E"/>
    <w:rsid w:val="008F129A"/>
    <w:rsid w:val="009054F8"/>
    <w:rsid w:val="00916888"/>
    <w:rsid w:val="009247FA"/>
    <w:rsid w:val="009747B5"/>
    <w:rsid w:val="009E6EC4"/>
    <w:rsid w:val="00AC7B6A"/>
    <w:rsid w:val="00B04898"/>
    <w:rsid w:val="00BA2215"/>
    <w:rsid w:val="00C0604B"/>
    <w:rsid w:val="00C11A77"/>
    <w:rsid w:val="00C210C5"/>
    <w:rsid w:val="00C74A5A"/>
    <w:rsid w:val="00C81D7D"/>
    <w:rsid w:val="00CD209F"/>
    <w:rsid w:val="00CD5744"/>
    <w:rsid w:val="00CD58F9"/>
    <w:rsid w:val="00CE716A"/>
    <w:rsid w:val="00D064B3"/>
    <w:rsid w:val="00D75530"/>
    <w:rsid w:val="00DA7CBD"/>
    <w:rsid w:val="00DB3A5B"/>
    <w:rsid w:val="00DC3A46"/>
    <w:rsid w:val="00E0297B"/>
    <w:rsid w:val="00E176A7"/>
    <w:rsid w:val="00E86CED"/>
    <w:rsid w:val="00E914EA"/>
    <w:rsid w:val="00EB3DD2"/>
    <w:rsid w:val="00ED2318"/>
    <w:rsid w:val="00EE51AA"/>
    <w:rsid w:val="00F15636"/>
    <w:rsid w:val="00F337B7"/>
    <w:rsid w:val="00F53AD1"/>
    <w:rsid w:val="00F76A63"/>
    <w:rsid w:val="00FC068C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E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E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2015-12-07T11:48:00Z</cp:lastPrinted>
  <dcterms:created xsi:type="dcterms:W3CDTF">2015-12-07T12:17:00Z</dcterms:created>
  <dcterms:modified xsi:type="dcterms:W3CDTF">2015-12-07T12:28:00Z</dcterms:modified>
</cp:coreProperties>
</file>